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6EB9982"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xml:space="preserve">: Foundation to Level </w:t>
          </w:r>
          <w:r w:rsidR="009639A6">
            <w:rPr>
              <w:b w:val="0"/>
              <w:bCs w:val="0"/>
              <w:noProof w:val="0"/>
              <w:sz w:val="40"/>
              <w:szCs w:val="40"/>
            </w:rPr>
            <w:t>2</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11394"/>
        <w:gridCol w:w="11394"/>
      </w:tblGrid>
      <w:tr w:rsidR="000638BA" w:rsidRPr="00452EF3" w14:paraId="3C4EB7DC" w14:textId="77777777" w:rsidTr="009639A6">
        <w:trPr>
          <w:trHeight w:val="20"/>
          <w:tblHeader/>
        </w:trPr>
        <w:tc>
          <w:tcPr>
            <w:tcW w:w="11394" w:type="dxa"/>
            <w:shd w:val="clear" w:color="auto" w:fill="0F7EB4"/>
            <w:vAlign w:val="center"/>
          </w:tcPr>
          <w:p w14:paraId="7DF2EB35" w14:textId="4FD370E4" w:rsidR="000638BA" w:rsidRPr="00452EF3" w:rsidRDefault="000638BA"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11394" w:type="dxa"/>
            <w:shd w:val="clear" w:color="auto" w:fill="0F7EB4"/>
          </w:tcPr>
          <w:p w14:paraId="7A924258" w14:textId="7117CA43" w:rsidR="000638BA" w:rsidRPr="00452EF3" w:rsidRDefault="000638BA" w:rsidP="0029316D">
            <w:pPr>
              <w:pStyle w:val="VCAAtablecondensedheading"/>
              <w:jc w:val="center"/>
              <w:rPr>
                <w:b/>
                <w:bCs/>
                <w:color w:val="FFFFFF" w:themeColor="background1"/>
                <w:lang w:val="en-AU"/>
              </w:rPr>
            </w:pPr>
            <w:r w:rsidRPr="00452EF3">
              <w:rPr>
                <w:b/>
                <w:bCs/>
                <w:color w:val="FFFFFF" w:themeColor="background1"/>
                <w:lang w:val="en-AU"/>
              </w:rPr>
              <w:t>Levels 1 and 2</w:t>
            </w:r>
          </w:p>
        </w:tc>
      </w:tr>
      <w:tr w:rsidR="005A0A2D" w:rsidRPr="00452EF3" w14:paraId="2FAC17B8" w14:textId="77777777" w:rsidTr="009639A6">
        <w:trPr>
          <w:trHeight w:val="20"/>
        </w:trPr>
        <w:tc>
          <w:tcPr>
            <w:tcW w:w="22788" w:type="dxa"/>
            <w:gridSpan w:val="2"/>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0638BA" w:rsidRPr="00452EF3" w14:paraId="16604A39" w14:textId="77777777" w:rsidTr="009639A6">
        <w:trPr>
          <w:trHeight w:val="20"/>
        </w:trPr>
        <w:tc>
          <w:tcPr>
            <w:tcW w:w="11394" w:type="dxa"/>
          </w:tcPr>
          <w:p w14:paraId="0F954159"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6BF89BA4"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694C2325" w14:textId="77777777" w:rsidR="000638BA" w:rsidRDefault="000638BA" w:rsidP="00FF7146">
            <w:pPr>
              <w:rPr>
                <w:rFonts w:ascii="Arial Narrow" w:hAnsi="Arial Narrow" w:cs="Arial"/>
                <w:color w:val="000000" w:themeColor="text1"/>
                <w:sz w:val="20"/>
                <w:lang w:val="en-AU" w:eastAsia="en-AU"/>
              </w:rPr>
            </w:pPr>
          </w:p>
          <w:p w14:paraId="1C78DBF0" w14:textId="25B69A5A" w:rsidR="000638BA" w:rsidRPr="00FF7146" w:rsidRDefault="000638BA" w:rsidP="00FF7146">
            <w:pPr>
              <w:jc w:val="center"/>
              <w:rPr>
                <w:lang w:val="en-AU"/>
              </w:rPr>
            </w:pPr>
          </w:p>
        </w:tc>
        <w:tc>
          <w:tcPr>
            <w:tcW w:w="11394" w:type="dxa"/>
          </w:tcPr>
          <w:p w14:paraId="2B9A32EE"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0FE319C5" w14:textId="6260A7C2" w:rsidR="000638BA" w:rsidRPr="00AA3B96" w:rsidRDefault="00667BC7" w:rsidP="00AA3B96">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tc>
      </w:tr>
      <w:tr w:rsidR="005A0A2D" w:rsidRPr="00452EF3" w14:paraId="43AEC8C9" w14:textId="77777777" w:rsidTr="009639A6">
        <w:trPr>
          <w:trHeight w:val="20"/>
        </w:trPr>
        <w:tc>
          <w:tcPr>
            <w:tcW w:w="22788" w:type="dxa"/>
            <w:gridSpan w:val="2"/>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9639A6">
        <w:trPr>
          <w:trHeight w:val="20"/>
        </w:trPr>
        <w:tc>
          <w:tcPr>
            <w:tcW w:w="22788" w:type="dxa"/>
            <w:gridSpan w:val="2"/>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9639A6">
        <w:trPr>
          <w:trHeight w:val="20"/>
        </w:trPr>
        <w:tc>
          <w:tcPr>
            <w:tcW w:w="22788" w:type="dxa"/>
            <w:gridSpan w:val="2"/>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9639A6">
        <w:trPr>
          <w:trHeight w:val="20"/>
        </w:trPr>
        <w:tc>
          <w:tcPr>
            <w:tcW w:w="22788" w:type="dxa"/>
            <w:gridSpan w:val="2"/>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0638BA" w:rsidRPr="00452EF3" w14:paraId="584B54D0" w14:textId="77777777" w:rsidTr="00F47E62">
        <w:trPr>
          <w:trHeight w:val="964"/>
        </w:trPr>
        <w:tc>
          <w:tcPr>
            <w:tcW w:w="11394" w:type="dxa"/>
          </w:tcPr>
          <w:p w14:paraId="5ACABAC5" w14:textId="77777777" w:rsidR="000638BA" w:rsidRPr="00BF197E" w:rsidRDefault="000638BA" w:rsidP="008F4A39">
            <w:pPr>
              <w:pStyle w:val="VCAAtabletextnarrow"/>
              <w:rPr>
                <w:lang w:val="en-AU" w:eastAsia="en-AU"/>
              </w:rPr>
            </w:pPr>
            <w:r w:rsidRPr="00BF197E">
              <w:rPr>
                <w:lang w:val="en-AU" w:eastAsia="en-AU"/>
              </w:rPr>
              <w:t>investigate who they are and the people in their world</w:t>
            </w:r>
          </w:p>
          <w:p w14:paraId="4904C6ED" w14:textId="2E6BFED2" w:rsidR="000638BA" w:rsidRPr="00452EF3" w:rsidRDefault="000638BA" w:rsidP="008F4A39">
            <w:pPr>
              <w:pStyle w:val="VCAAVC2curriculumcode"/>
            </w:pPr>
            <w:r w:rsidRPr="00BF197E">
              <w:t>VC2HPFP01</w:t>
            </w:r>
          </w:p>
        </w:tc>
        <w:tc>
          <w:tcPr>
            <w:tcW w:w="11394" w:type="dxa"/>
          </w:tcPr>
          <w:p w14:paraId="41ED25E6" w14:textId="77777777" w:rsidR="000638BA" w:rsidRPr="00BF197E" w:rsidRDefault="000638BA" w:rsidP="008F4A39">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27929878" w14:textId="41D3B55B" w:rsidR="000638BA" w:rsidRPr="00452EF3" w:rsidRDefault="000638BA" w:rsidP="00AA3B96">
            <w:pPr>
              <w:pStyle w:val="VCAAVC2curriculumcode"/>
            </w:pPr>
            <w:r w:rsidRPr="00BF197E">
              <w:t>VC2HP2P01</w:t>
            </w:r>
          </w:p>
        </w:tc>
      </w:tr>
      <w:tr w:rsidR="000638BA" w:rsidRPr="00452EF3" w14:paraId="5C35D825" w14:textId="77777777" w:rsidTr="00F47E62">
        <w:trPr>
          <w:trHeight w:val="964"/>
        </w:trPr>
        <w:tc>
          <w:tcPr>
            <w:tcW w:w="11394" w:type="dxa"/>
          </w:tcPr>
          <w:p w14:paraId="74C012AA" w14:textId="77777777" w:rsidR="000638BA" w:rsidRPr="00BF197E" w:rsidRDefault="000638BA" w:rsidP="008F4A39">
            <w:pPr>
              <w:pStyle w:val="VCAAtabletextnarrow"/>
              <w:rPr>
                <w:lang w:val="en-AU" w:eastAsia="en-AU"/>
              </w:rPr>
            </w:pPr>
            <w:r w:rsidRPr="00BF197E">
              <w:rPr>
                <w:lang w:val="en-AU" w:eastAsia="en-AU"/>
              </w:rPr>
              <w:t>name parts of the body and describe how their body is growing and changing</w:t>
            </w:r>
          </w:p>
          <w:p w14:paraId="762762D0" w14:textId="0798FB46" w:rsidR="000638BA" w:rsidRPr="00452EF3" w:rsidRDefault="000638BA" w:rsidP="008F4A39">
            <w:pPr>
              <w:pStyle w:val="VCAAtabletextnarrow"/>
              <w:rPr>
                <w:lang w:val="en-AU"/>
              </w:rPr>
            </w:pPr>
            <w:r w:rsidRPr="00BF197E">
              <w:t>VC2HPFP02</w:t>
            </w:r>
          </w:p>
        </w:tc>
        <w:tc>
          <w:tcPr>
            <w:tcW w:w="11394" w:type="dxa"/>
          </w:tcPr>
          <w:p w14:paraId="7417B657" w14:textId="77777777" w:rsidR="000638BA" w:rsidRPr="00BF197E" w:rsidRDefault="000638BA" w:rsidP="008F4A39">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8AF09DF" w14:textId="4CBB13E0" w:rsidR="000638BA" w:rsidRPr="00452EF3" w:rsidRDefault="000638BA" w:rsidP="00AA3B96">
            <w:pPr>
              <w:pStyle w:val="VCAAtabletextnarrow"/>
              <w:rPr>
                <w:lang w:val="en-AU"/>
              </w:rPr>
            </w:pPr>
            <w:r w:rsidRPr="00BF197E">
              <w:t>VC2HP2P02</w:t>
            </w:r>
          </w:p>
        </w:tc>
      </w:tr>
      <w:tr w:rsidR="005A0A2D" w:rsidRPr="00452EF3" w14:paraId="5BAC7696" w14:textId="77777777" w:rsidTr="009639A6">
        <w:trPr>
          <w:trHeight w:val="20"/>
        </w:trPr>
        <w:tc>
          <w:tcPr>
            <w:tcW w:w="22788" w:type="dxa"/>
            <w:gridSpan w:val="2"/>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9639A6">
        <w:trPr>
          <w:trHeight w:val="20"/>
        </w:trPr>
        <w:tc>
          <w:tcPr>
            <w:tcW w:w="22788" w:type="dxa"/>
            <w:gridSpan w:val="2"/>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0A53BEB3" w14:textId="77777777" w:rsidTr="009639A6">
        <w:trPr>
          <w:trHeight w:val="20"/>
        </w:trPr>
        <w:tc>
          <w:tcPr>
            <w:tcW w:w="11394" w:type="dxa"/>
          </w:tcPr>
          <w:p w14:paraId="65C0CD24" w14:textId="77777777" w:rsidR="000638BA" w:rsidRPr="00BF197E" w:rsidRDefault="000638BA" w:rsidP="008F4A39">
            <w:pPr>
              <w:pStyle w:val="VCAAtabletextnarrow"/>
              <w:rPr>
                <w:lang w:val="en-AU" w:eastAsia="en-AU"/>
              </w:rPr>
            </w:pPr>
            <w:r w:rsidRPr="00BF197E">
              <w:rPr>
                <w:lang w:val="en-AU" w:eastAsia="en-AU"/>
              </w:rPr>
              <w:t>practise personal and social skills to interact respectfully with others</w:t>
            </w:r>
          </w:p>
          <w:p w14:paraId="024E3914" w14:textId="308ACC4D" w:rsidR="000638BA" w:rsidRPr="00452EF3" w:rsidRDefault="000638BA" w:rsidP="008F4A39">
            <w:pPr>
              <w:pStyle w:val="VCAAVC2curriculumcode"/>
            </w:pPr>
            <w:r w:rsidRPr="00BF197E">
              <w:t>VC2HPFP03</w:t>
            </w:r>
          </w:p>
        </w:tc>
        <w:tc>
          <w:tcPr>
            <w:tcW w:w="11394" w:type="dxa"/>
          </w:tcPr>
          <w:p w14:paraId="3D53C3CC" w14:textId="77777777" w:rsidR="000638BA" w:rsidRPr="00BF197E" w:rsidRDefault="000638BA" w:rsidP="008F4A39">
            <w:pPr>
              <w:pStyle w:val="VCAAtabletextnarrow"/>
              <w:rPr>
                <w:lang w:val="en-AU" w:eastAsia="en-AU"/>
              </w:rPr>
            </w:pPr>
            <w:r w:rsidRPr="00BF197E">
              <w:rPr>
                <w:lang w:val="en-AU" w:eastAsia="en-AU"/>
              </w:rPr>
              <w:t>identify and explore personal and social skills and strategies to develop respectful relationships</w:t>
            </w:r>
          </w:p>
          <w:p w14:paraId="69E17BB5" w14:textId="518B2E32" w:rsidR="000638BA" w:rsidRPr="00452EF3" w:rsidRDefault="000638BA" w:rsidP="00AA3B96">
            <w:pPr>
              <w:pStyle w:val="VCAAVC2curriculumcode"/>
            </w:pPr>
            <w:r w:rsidRPr="00BF197E">
              <w:t>VC2HP2P03</w:t>
            </w:r>
          </w:p>
        </w:tc>
      </w:tr>
      <w:tr w:rsidR="000638BA" w:rsidRPr="00452EF3" w14:paraId="26E70E23" w14:textId="77777777" w:rsidTr="009639A6">
        <w:trPr>
          <w:trHeight w:val="20"/>
        </w:trPr>
        <w:tc>
          <w:tcPr>
            <w:tcW w:w="11394" w:type="dxa"/>
          </w:tcPr>
          <w:p w14:paraId="66438DF1" w14:textId="77777777" w:rsidR="000638BA" w:rsidRPr="00BF197E" w:rsidRDefault="000638BA" w:rsidP="00CB7D60">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0638BA" w:rsidRPr="00452EF3" w:rsidRDefault="000638BA" w:rsidP="00055859">
            <w:pPr>
              <w:pStyle w:val="VCAAtabletextnarrow"/>
              <w:tabs>
                <w:tab w:val="center" w:pos="1791"/>
              </w:tabs>
              <w:rPr>
                <w:lang w:val="en-AU"/>
              </w:rPr>
            </w:pPr>
            <w:r w:rsidRPr="00BF197E">
              <w:t>VC2HPFP04</w:t>
            </w:r>
          </w:p>
        </w:tc>
        <w:tc>
          <w:tcPr>
            <w:tcW w:w="11394" w:type="dxa"/>
          </w:tcPr>
          <w:p w14:paraId="5B61B130" w14:textId="77777777" w:rsidR="000638BA" w:rsidRPr="00BF197E" w:rsidRDefault="000638BA" w:rsidP="00CB7D60">
            <w:pPr>
              <w:pStyle w:val="VCAAtabletextnarrow"/>
              <w:rPr>
                <w:lang w:val="en-AU" w:eastAsia="en-AU"/>
              </w:rPr>
            </w:pPr>
            <w:r w:rsidRPr="00BF197E">
              <w:rPr>
                <w:lang w:val="en-AU" w:eastAsia="en-AU"/>
              </w:rPr>
              <w:t>identify how different situations influence emotional responses</w:t>
            </w:r>
          </w:p>
          <w:p w14:paraId="32DB6CBB" w14:textId="4DD76371" w:rsidR="000638BA" w:rsidRPr="00452EF3" w:rsidRDefault="000638BA" w:rsidP="00CB7D60">
            <w:pPr>
              <w:pStyle w:val="VCAAtabletextnarrow"/>
              <w:rPr>
                <w:lang w:val="en-AU"/>
              </w:rPr>
            </w:pPr>
            <w:r w:rsidRPr="00BF197E">
              <w:t>VC2HP2P04</w:t>
            </w:r>
          </w:p>
        </w:tc>
      </w:tr>
      <w:tr w:rsidR="000638BA" w:rsidRPr="00452EF3" w14:paraId="33BF33B9" w14:textId="77777777" w:rsidTr="009639A6">
        <w:trPr>
          <w:trHeight w:val="20"/>
        </w:trPr>
        <w:tc>
          <w:tcPr>
            <w:tcW w:w="11394" w:type="dxa"/>
          </w:tcPr>
          <w:p w14:paraId="7E862027" w14:textId="77777777" w:rsidR="000638BA" w:rsidRPr="00BF197E" w:rsidRDefault="000638BA" w:rsidP="00CB7D60">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0638BA" w:rsidRPr="00BF197E" w:rsidRDefault="000638BA" w:rsidP="00CB7D60">
            <w:pPr>
              <w:pStyle w:val="VCAAtabletextnarrow"/>
              <w:rPr>
                <w:lang w:val="en-AU" w:eastAsia="en-AU"/>
              </w:rPr>
            </w:pPr>
            <w:r w:rsidRPr="00BF197E">
              <w:t>VC2HPFP05</w:t>
            </w:r>
          </w:p>
        </w:tc>
        <w:tc>
          <w:tcPr>
            <w:tcW w:w="11394" w:type="dxa"/>
          </w:tcPr>
          <w:p w14:paraId="60D3E452" w14:textId="77777777" w:rsidR="000638BA" w:rsidRPr="00BF197E" w:rsidRDefault="000638BA" w:rsidP="00CB7D60">
            <w:pPr>
              <w:pStyle w:val="VCAAtabletextnarrow"/>
              <w:rPr>
                <w:lang w:val="en-AU" w:eastAsia="en-AU"/>
              </w:rPr>
            </w:pPr>
            <w:r w:rsidRPr="00BF197E">
              <w:rPr>
                <w:lang w:val="en-AU" w:eastAsia="en-AU"/>
              </w:rPr>
              <w:t>practise strategies they can use when they need to seek, give or deny permission respectfully</w:t>
            </w:r>
          </w:p>
          <w:p w14:paraId="51FEB6FF" w14:textId="3BEAF5FB" w:rsidR="000638BA" w:rsidRPr="00AA3B96" w:rsidRDefault="000638BA" w:rsidP="00CB7D60">
            <w:pPr>
              <w:pStyle w:val="VCAAtabletextnarrow"/>
              <w:rPr>
                <w:lang w:val="en-AU"/>
              </w:rPr>
            </w:pPr>
            <w:r w:rsidRPr="00BF197E">
              <w:t>VC2HP2P05</w:t>
            </w:r>
          </w:p>
        </w:tc>
      </w:tr>
      <w:tr w:rsidR="00CB7D60" w:rsidRPr="00452EF3" w14:paraId="3E665F7F" w14:textId="77777777" w:rsidTr="009639A6">
        <w:trPr>
          <w:trHeight w:val="20"/>
        </w:trPr>
        <w:tc>
          <w:tcPr>
            <w:tcW w:w="22788" w:type="dxa"/>
            <w:gridSpan w:val="2"/>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t xml:space="preserve">Sub-strand: </w:t>
            </w:r>
            <w:r w:rsidRPr="00BF197E">
              <w:t>Contributing to healthy communities</w:t>
            </w:r>
          </w:p>
        </w:tc>
      </w:tr>
      <w:tr w:rsidR="00655BA8" w:rsidRPr="00655BA8" w14:paraId="38955DDD" w14:textId="77777777" w:rsidTr="009639A6">
        <w:trPr>
          <w:trHeight w:val="20"/>
        </w:trPr>
        <w:tc>
          <w:tcPr>
            <w:tcW w:w="22788" w:type="dxa"/>
            <w:gridSpan w:val="2"/>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4193AEB8" w14:textId="77777777" w:rsidTr="009639A6">
        <w:trPr>
          <w:trHeight w:val="20"/>
        </w:trPr>
        <w:tc>
          <w:tcPr>
            <w:tcW w:w="11394" w:type="dxa"/>
          </w:tcPr>
          <w:p w14:paraId="38936B35" w14:textId="77777777" w:rsidR="000638BA" w:rsidRPr="00BF197E" w:rsidRDefault="000638BA" w:rsidP="00CB7D60">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0638BA" w:rsidRPr="00452EF3" w:rsidRDefault="000638BA" w:rsidP="00CB7D60">
            <w:pPr>
              <w:pStyle w:val="VCAAVC2curriculumcode"/>
            </w:pPr>
            <w:r w:rsidRPr="00BF197E">
              <w:t>VC2HPFP06</w:t>
            </w:r>
          </w:p>
        </w:tc>
        <w:tc>
          <w:tcPr>
            <w:tcW w:w="11394" w:type="dxa"/>
          </w:tcPr>
          <w:p w14:paraId="6869D787" w14:textId="77777777" w:rsidR="000638BA" w:rsidRPr="00BF197E" w:rsidRDefault="000638BA" w:rsidP="00CB7D60">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5190F855" w14:textId="3F7E4BC1" w:rsidR="000638BA" w:rsidRPr="00452EF3" w:rsidRDefault="000638BA" w:rsidP="00CB7D60">
            <w:pPr>
              <w:pStyle w:val="VCAAVC2curriculumcode"/>
            </w:pPr>
            <w:r w:rsidRPr="00BF197E">
              <w:t>VC2HP2P06</w:t>
            </w:r>
          </w:p>
        </w:tc>
      </w:tr>
      <w:tr w:rsidR="000638BA" w:rsidRPr="00452EF3" w14:paraId="4EB14A50" w14:textId="77777777" w:rsidTr="009639A6">
        <w:trPr>
          <w:trHeight w:val="1160"/>
        </w:trPr>
        <w:tc>
          <w:tcPr>
            <w:tcW w:w="11394" w:type="dxa"/>
          </w:tcPr>
          <w:p w14:paraId="703DE537" w14:textId="77777777" w:rsidR="000638BA" w:rsidRPr="00BF197E" w:rsidRDefault="000638BA" w:rsidP="00CB7D60">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0638BA" w:rsidRPr="00BF197E" w:rsidRDefault="000638BA" w:rsidP="00CB7D60">
            <w:pPr>
              <w:pStyle w:val="VCAAtabletextnarrow"/>
              <w:rPr>
                <w:lang w:val="en-AU" w:eastAsia="en-AU"/>
              </w:rPr>
            </w:pPr>
            <w:r w:rsidRPr="00BF197E">
              <w:t>VC2HPFP07</w:t>
            </w:r>
          </w:p>
        </w:tc>
        <w:tc>
          <w:tcPr>
            <w:tcW w:w="11394" w:type="dxa"/>
          </w:tcPr>
          <w:p w14:paraId="676C11CD" w14:textId="77777777" w:rsidR="000638BA" w:rsidRPr="00BF197E" w:rsidRDefault="000638BA" w:rsidP="00CB7D60">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23A6BD1A" w14:textId="37F3C95A" w:rsidR="000638BA" w:rsidRPr="00452EF3" w:rsidRDefault="000638BA" w:rsidP="00CB7D60">
            <w:pPr>
              <w:pStyle w:val="VCAAVC2curriculumcode"/>
            </w:pPr>
            <w:r w:rsidRPr="00BF197E">
              <w:t>VC2HP2P07</w:t>
            </w:r>
          </w:p>
        </w:tc>
      </w:tr>
      <w:tr w:rsidR="00CB7D60" w:rsidRPr="00452EF3" w14:paraId="6F72EF87" w14:textId="77777777" w:rsidTr="009639A6">
        <w:trPr>
          <w:trHeight w:val="20"/>
        </w:trPr>
        <w:tc>
          <w:tcPr>
            <w:tcW w:w="22788" w:type="dxa"/>
            <w:gridSpan w:val="2"/>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lastRenderedPageBreak/>
              <w:t xml:space="preserve">Strand: </w:t>
            </w:r>
            <w:r w:rsidRPr="00BF197E">
              <w:t>Movement and Physical Activity – Physical Education</w:t>
            </w:r>
          </w:p>
        </w:tc>
      </w:tr>
      <w:tr w:rsidR="00CB7D60" w:rsidRPr="00452EF3" w14:paraId="0EE697E1" w14:textId="77777777" w:rsidTr="009639A6">
        <w:trPr>
          <w:trHeight w:val="20"/>
        </w:trPr>
        <w:tc>
          <w:tcPr>
            <w:tcW w:w="22788" w:type="dxa"/>
            <w:gridSpan w:val="2"/>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9639A6">
        <w:trPr>
          <w:trHeight w:val="20"/>
        </w:trPr>
        <w:tc>
          <w:tcPr>
            <w:tcW w:w="22788" w:type="dxa"/>
            <w:gridSpan w:val="2"/>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168CA65C" w14:textId="77777777" w:rsidTr="009639A6">
        <w:trPr>
          <w:trHeight w:val="20"/>
        </w:trPr>
        <w:tc>
          <w:tcPr>
            <w:tcW w:w="11394" w:type="dxa"/>
          </w:tcPr>
          <w:p w14:paraId="490FCEF4" w14:textId="77777777" w:rsidR="000638BA" w:rsidRPr="00BF197E" w:rsidRDefault="000638BA" w:rsidP="00CB7D60">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0638BA" w:rsidRPr="00452EF3" w:rsidRDefault="000638BA" w:rsidP="00CB7D60">
            <w:pPr>
              <w:pStyle w:val="VCAAVC2curriculumcode"/>
            </w:pPr>
            <w:r w:rsidRPr="00BF197E">
              <w:t>VC2HPFM01</w:t>
            </w:r>
          </w:p>
        </w:tc>
        <w:tc>
          <w:tcPr>
            <w:tcW w:w="11394" w:type="dxa"/>
          </w:tcPr>
          <w:p w14:paraId="0725F1DD" w14:textId="77777777" w:rsidR="000638BA" w:rsidRPr="00BF197E" w:rsidRDefault="000638BA" w:rsidP="00CB7D60">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FCA7F90" w14:textId="55BC668D" w:rsidR="000638BA" w:rsidRPr="00452EF3" w:rsidRDefault="000638BA" w:rsidP="00CB7D60">
            <w:pPr>
              <w:pStyle w:val="VCAAVC2curriculumcode"/>
            </w:pPr>
            <w:r w:rsidRPr="00BF197E">
              <w:t>VC2HP2M01</w:t>
            </w:r>
          </w:p>
        </w:tc>
      </w:tr>
      <w:tr w:rsidR="000638BA" w:rsidRPr="00452EF3" w14:paraId="1D0AC378" w14:textId="77777777" w:rsidTr="009639A6">
        <w:trPr>
          <w:trHeight w:val="20"/>
        </w:trPr>
        <w:tc>
          <w:tcPr>
            <w:tcW w:w="11394" w:type="dxa"/>
          </w:tcPr>
          <w:p w14:paraId="40F9968E" w14:textId="77777777" w:rsidR="000638BA" w:rsidRPr="00BF197E" w:rsidRDefault="000638BA" w:rsidP="00541640">
            <w:pPr>
              <w:pStyle w:val="VCAAtabletextnarrow"/>
              <w:rPr>
                <w:lang w:val="en-AU" w:eastAsia="en-AU"/>
              </w:rPr>
            </w:pPr>
            <w:r w:rsidRPr="00BF197E">
              <w:rPr>
                <w:lang w:val="en-AU" w:eastAsia="en-AU"/>
              </w:rPr>
              <w:t>explore different ways of moving their body safely when manipulating objects and moving through space</w:t>
            </w:r>
          </w:p>
          <w:p w14:paraId="1CC58187" w14:textId="4211A143" w:rsidR="000638BA" w:rsidRPr="00BF197E" w:rsidRDefault="000638BA" w:rsidP="00541640">
            <w:pPr>
              <w:pStyle w:val="VCAAtabletextnarrow"/>
              <w:rPr>
                <w:lang w:val="en-AU" w:eastAsia="en-AU"/>
              </w:rPr>
            </w:pPr>
            <w:r w:rsidRPr="00BF197E">
              <w:t>VC2HPFM02</w:t>
            </w:r>
          </w:p>
        </w:tc>
        <w:tc>
          <w:tcPr>
            <w:tcW w:w="11394" w:type="dxa"/>
          </w:tcPr>
          <w:p w14:paraId="2D4871C7" w14:textId="77777777" w:rsidR="000638BA" w:rsidRPr="00BF197E" w:rsidRDefault="000638BA" w:rsidP="00541640">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01365941" w14:textId="4F41AE6B" w:rsidR="000638BA" w:rsidRPr="00452EF3" w:rsidRDefault="000638BA" w:rsidP="00541640">
            <w:pPr>
              <w:pStyle w:val="VCAAVC2curriculumcode"/>
            </w:pPr>
            <w:r w:rsidRPr="00BF197E">
              <w:t>VC2HP2M02</w:t>
            </w:r>
          </w:p>
        </w:tc>
      </w:tr>
      <w:tr w:rsidR="008367E1" w:rsidRPr="00452EF3" w14:paraId="4BDE1FD7" w14:textId="77777777" w:rsidTr="009639A6">
        <w:trPr>
          <w:trHeight w:val="20"/>
        </w:trPr>
        <w:tc>
          <w:tcPr>
            <w:tcW w:w="22788" w:type="dxa"/>
            <w:gridSpan w:val="2"/>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9639A6">
        <w:trPr>
          <w:trHeight w:val="20"/>
        </w:trPr>
        <w:tc>
          <w:tcPr>
            <w:tcW w:w="22788" w:type="dxa"/>
            <w:gridSpan w:val="2"/>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0B033640" w14:textId="77777777" w:rsidTr="009639A6">
        <w:trPr>
          <w:trHeight w:val="20"/>
        </w:trPr>
        <w:tc>
          <w:tcPr>
            <w:tcW w:w="11394" w:type="dxa"/>
          </w:tcPr>
          <w:p w14:paraId="4E1CF295" w14:textId="77777777" w:rsidR="000638BA" w:rsidRPr="00BF197E" w:rsidRDefault="000638BA" w:rsidP="008367E1">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0638BA" w:rsidRDefault="000638BA" w:rsidP="008367E1">
            <w:pPr>
              <w:pStyle w:val="VCAAtabletextnarrow"/>
              <w:rPr>
                <w:lang w:val="en-AU" w:eastAsia="en-AU"/>
              </w:rPr>
            </w:pPr>
            <w:r w:rsidRPr="00BF197E">
              <w:t>VC2HPFM03</w:t>
            </w:r>
          </w:p>
        </w:tc>
        <w:tc>
          <w:tcPr>
            <w:tcW w:w="11394" w:type="dxa"/>
          </w:tcPr>
          <w:p w14:paraId="49762E0C" w14:textId="77777777" w:rsidR="000638BA" w:rsidRPr="00BF197E" w:rsidRDefault="000638BA" w:rsidP="008367E1">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67358383" w14:textId="55D15CCC" w:rsidR="000638BA" w:rsidRPr="00452EF3" w:rsidRDefault="000638BA" w:rsidP="008367E1">
            <w:pPr>
              <w:pStyle w:val="VCAAVC2curriculumcode"/>
            </w:pPr>
            <w:r w:rsidRPr="00BF197E">
              <w:t>VC2HP2M03</w:t>
            </w:r>
          </w:p>
        </w:tc>
      </w:tr>
      <w:tr w:rsidR="008367E1" w:rsidRPr="00452EF3" w14:paraId="458427AC" w14:textId="77777777" w:rsidTr="009639A6">
        <w:trPr>
          <w:trHeight w:val="20"/>
        </w:trPr>
        <w:tc>
          <w:tcPr>
            <w:tcW w:w="22788" w:type="dxa"/>
            <w:gridSpan w:val="2"/>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t xml:space="preserve">Sub-strand: </w:t>
            </w:r>
            <w:r w:rsidRPr="00BF197E">
              <w:t>Learning through movement</w:t>
            </w:r>
          </w:p>
        </w:tc>
      </w:tr>
      <w:tr w:rsidR="00655BA8" w:rsidRPr="00655BA8" w14:paraId="5052A105" w14:textId="77777777" w:rsidTr="009639A6">
        <w:trPr>
          <w:trHeight w:val="20"/>
        </w:trPr>
        <w:tc>
          <w:tcPr>
            <w:tcW w:w="22788" w:type="dxa"/>
            <w:gridSpan w:val="2"/>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7FF0F7BA" w14:textId="77777777" w:rsidTr="009639A6">
        <w:trPr>
          <w:trHeight w:val="20"/>
        </w:trPr>
        <w:tc>
          <w:tcPr>
            <w:tcW w:w="11394" w:type="dxa"/>
          </w:tcPr>
          <w:p w14:paraId="29CF0A62" w14:textId="77777777" w:rsidR="000638BA" w:rsidRPr="00BF197E" w:rsidRDefault="000638BA" w:rsidP="00F601C6">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0638BA" w:rsidRPr="00BF197E" w:rsidRDefault="000638BA" w:rsidP="00F601C6">
            <w:pPr>
              <w:pStyle w:val="VCAAtabletextnarrow"/>
              <w:rPr>
                <w:lang w:val="en-AU" w:eastAsia="en-AU"/>
              </w:rPr>
            </w:pPr>
            <w:r w:rsidRPr="00BF197E">
              <w:t>VC2HPFM04</w:t>
            </w:r>
          </w:p>
        </w:tc>
        <w:tc>
          <w:tcPr>
            <w:tcW w:w="11394" w:type="dxa"/>
          </w:tcPr>
          <w:p w14:paraId="71EE8FD7" w14:textId="77777777" w:rsidR="000638BA" w:rsidRPr="00BF197E" w:rsidRDefault="000638BA" w:rsidP="00F601C6">
            <w:pPr>
              <w:pStyle w:val="VCAAtabletextnarrow"/>
              <w:rPr>
                <w:lang w:val="en-AU" w:eastAsia="en-AU"/>
              </w:rPr>
            </w:pPr>
            <w:r w:rsidRPr="00BF197E">
              <w:rPr>
                <w:lang w:val="en-AU" w:eastAsia="en-AU"/>
              </w:rPr>
              <w:t>co-construct and apply rules to promote fair play and inclusion in a range of physical activities</w:t>
            </w:r>
          </w:p>
          <w:p w14:paraId="5D5423DF" w14:textId="68110CF6" w:rsidR="000638BA" w:rsidRPr="00452EF3" w:rsidRDefault="000638BA" w:rsidP="00F601C6">
            <w:pPr>
              <w:pStyle w:val="VCAAVC2curriculumcode"/>
            </w:pPr>
            <w:r w:rsidRPr="00BF197E">
              <w:t>VC2HP2M04</w:t>
            </w:r>
          </w:p>
        </w:tc>
      </w:tr>
      <w:tr w:rsidR="000638BA" w:rsidRPr="00452EF3" w14:paraId="3718508C" w14:textId="77777777" w:rsidTr="009639A6">
        <w:trPr>
          <w:trHeight w:val="20"/>
        </w:trPr>
        <w:tc>
          <w:tcPr>
            <w:tcW w:w="11394" w:type="dxa"/>
          </w:tcPr>
          <w:p w14:paraId="1F42F25C" w14:textId="77777777" w:rsidR="000638BA" w:rsidRPr="00BF197E" w:rsidRDefault="000638BA" w:rsidP="00F601C6">
            <w:pPr>
              <w:pStyle w:val="VCAAtabletextnarrow"/>
              <w:rPr>
                <w:lang w:val="en-AU" w:eastAsia="en-AU"/>
              </w:rPr>
            </w:pPr>
            <w:r w:rsidRPr="00BF197E">
              <w:rPr>
                <w:lang w:val="en-AU" w:eastAsia="en-AU"/>
              </w:rPr>
              <w:t>cooperate with others when participating in physical activities</w:t>
            </w:r>
          </w:p>
          <w:p w14:paraId="1B9CD6DF" w14:textId="665883E5" w:rsidR="000638BA" w:rsidRPr="00BF197E" w:rsidRDefault="000638BA" w:rsidP="00F601C6">
            <w:pPr>
              <w:pStyle w:val="VCAAtabletextnarrow"/>
              <w:rPr>
                <w:lang w:val="en-AU" w:eastAsia="en-AU"/>
              </w:rPr>
            </w:pPr>
            <w:r w:rsidRPr="00BF197E">
              <w:t>VC2HPFM05</w:t>
            </w:r>
          </w:p>
        </w:tc>
        <w:tc>
          <w:tcPr>
            <w:tcW w:w="11394" w:type="dxa"/>
          </w:tcPr>
          <w:p w14:paraId="7D6FDB22" w14:textId="77777777" w:rsidR="000638BA" w:rsidRPr="00BF197E" w:rsidRDefault="000638BA" w:rsidP="00F601C6">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4059261F" w14:textId="4736A9F4" w:rsidR="000638BA" w:rsidRPr="00452EF3" w:rsidRDefault="000638BA" w:rsidP="00F601C6">
            <w:pPr>
              <w:pStyle w:val="VCAAVC2curriculumcode"/>
            </w:pPr>
            <w:r w:rsidRPr="00BF197E">
              <w:t>VC2HP2M05</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684F51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639A6">
          <w:rPr>
            <w:color w:val="999999" w:themeColor="accent2"/>
          </w:rPr>
          <w:t>Health and Physical Education scope and sequence: Foundation to Level 2</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38B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28E"/>
    <w:rsid w:val="002409E6"/>
    <w:rsid w:val="00243F0D"/>
    <w:rsid w:val="00252F3E"/>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67BC7"/>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639A6"/>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47E62"/>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199D9850-19D7-4F25-B158-EBF822A51169}"/>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B3D4E27-B510-40F1-B4B6-5D62323F76E3}"/>
</file>

<file path=docProps/app.xml><?xml version="1.0" encoding="utf-8"?>
<Properties xmlns="http://schemas.openxmlformats.org/officeDocument/2006/extended-properties" xmlns:vt="http://schemas.openxmlformats.org/officeDocument/2006/docPropsVTypes">
  <Template>Normal.dotm</Template>
  <TotalTime>12</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2</vt:lpstr>
    </vt:vector>
  </TitlesOfParts>
  <Company>Victorian Curriculum and Assessment Authority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2</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